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bookmarkStart w:id="0" w:name="block-7612857"/>
      <w:r>
        <w:rPr>
          <w:rFonts w:ascii="Times New Roman" w:hAnsi="Times New Roman"/>
          <w:b/>
          <w:color w:val="000000"/>
          <w:sz w:val="28"/>
        </w:rPr>
        <w:t xml:space="preserve">Приложение </w:t>
      </w: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 Основной образовательной программе </w:t>
      </w: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ООШ №12, </w:t>
      </w: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утвержденной Приказом </w:t>
      </w: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№ 301 № от 31.08.2023</w:t>
      </w: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282698" w:rsidRDefault="00282698" w:rsidP="00282698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282698" w:rsidRDefault="00282698" w:rsidP="002826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>Рабочая программа учебного предмета</w:t>
      </w:r>
    </w:p>
    <w:p w:rsidR="00282698" w:rsidRDefault="00282698" w:rsidP="002826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>«</w:t>
      </w:r>
      <w:r>
        <w:rPr>
          <w:rFonts w:ascii="Times New Roman" w:hAnsi="Times New Roman"/>
          <w:b/>
          <w:color w:val="000000"/>
          <w:sz w:val="40"/>
          <w:szCs w:val="40"/>
        </w:rPr>
        <w:t>Химия</w:t>
      </w:r>
      <w:r>
        <w:rPr>
          <w:rFonts w:ascii="Times New Roman" w:hAnsi="Times New Roman"/>
          <w:b/>
          <w:color w:val="000000"/>
          <w:sz w:val="40"/>
          <w:szCs w:val="40"/>
        </w:rPr>
        <w:t>»</w:t>
      </w:r>
    </w:p>
    <w:p w:rsidR="00796503" w:rsidRDefault="00796503" w:rsidP="002A4DB0">
      <w:pPr>
        <w:spacing w:after="0" w:line="264" w:lineRule="auto"/>
        <w:jc w:val="center"/>
        <w:rPr>
          <w:rFonts w:ascii="Times New Roman" w:hAnsi="Times New Roman"/>
          <w:b/>
          <w:i/>
          <w:color w:val="000000"/>
          <w:sz w:val="48"/>
          <w:szCs w:val="48"/>
        </w:rPr>
      </w:pPr>
      <w:bookmarkStart w:id="1" w:name="_GoBack"/>
      <w:bookmarkEnd w:id="1"/>
    </w:p>
    <w:p w:rsidR="00282698" w:rsidRPr="00282698" w:rsidRDefault="00282698" w:rsidP="002A4DB0">
      <w:pPr>
        <w:spacing w:after="0" w:line="264" w:lineRule="auto"/>
        <w:jc w:val="center"/>
        <w:rPr>
          <w:rFonts w:ascii="Times New Roman" w:hAnsi="Times New Roman"/>
          <w:color w:val="000000"/>
          <w:sz w:val="48"/>
          <w:szCs w:val="48"/>
        </w:rPr>
      </w:pPr>
    </w:p>
    <w:p w:rsidR="00796503" w:rsidRPr="00796503" w:rsidRDefault="00282698" w:rsidP="00282698">
      <w:pPr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        </w:t>
      </w:r>
      <w:r w:rsidR="00796503" w:rsidRPr="0079650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</w:t>
      </w:r>
      <w:r w:rsidRPr="00796503">
        <w:rPr>
          <w:rFonts w:ascii="Times New Roman" w:hAnsi="Times New Roman"/>
          <w:color w:val="000000"/>
          <w:sz w:val="28"/>
        </w:rPr>
        <w:lastRenderedPageBreak/>
        <w:t>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000000"/>
          <w:sz w:val="28"/>
        </w:rPr>
        <w:t>–</w:t>
      </w:r>
      <w:r w:rsidRPr="00796503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Calibri" w:hAnsi="Calibri"/>
          <w:color w:val="333333"/>
          <w:sz w:val="28"/>
        </w:rPr>
        <w:lastRenderedPageBreak/>
        <w:t>–</w:t>
      </w:r>
      <w:r w:rsidRPr="00796503">
        <w:rPr>
          <w:rFonts w:ascii="Times New Roman" w:hAnsi="Times New Roman"/>
          <w:color w:val="333333"/>
          <w:sz w:val="28"/>
        </w:rPr>
        <w:t xml:space="preserve"> </w:t>
      </w:r>
      <w:r w:rsidRPr="00796503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​‌</w:t>
      </w:r>
      <w:bookmarkStart w:id="2" w:name="9012e5c9-2e66-40e9-9799-caf6f2595164"/>
      <w:r w:rsidRPr="00796503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796503">
        <w:rPr>
          <w:rFonts w:ascii="Times New Roman" w:hAnsi="Times New Roman"/>
          <w:color w:val="000000"/>
          <w:sz w:val="28"/>
        </w:rPr>
        <w:t>).</w:t>
      </w:r>
      <w:bookmarkEnd w:id="2"/>
      <w:r w:rsidRPr="00796503">
        <w:rPr>
          <w:rFonts w:ascii="Times New Roman" w:hAnsi="Times New Roman"/>
          <w:color w:val="000000"/>
          <w:sz w:val="28"/>
        </w:rPr>
        <w:t>‌</w:t>
      </w:r>
      <w:proofErr w:type="gramEnd"/>
      <w:r w:rsidRPr="00796503">
        <w:rPr>
          <w:rFonts w:ascii="Times New Roman" w:hAnsi="Times New Roman"/>
          <w:color w:val="000000"/>
          <w:sz w:val="28"/>
        </w:rPr>
        <w:t>‌</w:t>
      </w:r>
    </w:p>
    <w:p w:rsidR="00796503" w:rsidRPr="00796503" w:rsidRDefault="00796503" w:rsidP="00796503">
      <w:pPr>
        <w:spacing w:after="0" w:line="264" w:lineRule="auto"/>
        <w:ind w:left="120"/>
        <w:jc w:val="both"/>
      </w:pPr>
      <w:r w:rsidRPr="00796503">
        <w:rPr>
          <w:rFonts w:ascii="Times New Roman" w:hAnsi="Times New Roman"/>
          <w:color w:val="000000"/>
          <w:sz w:val="28"/>
        </w:rPr>
        <w:t>​</w:t>
      </w:r>
    </w:p>
    <w:p w:rsidR="00796503" w:rsidRPr="00796503" w:rsidRDefault="00796503" w:rsidP="00796503">
      <w:pPr>
        <w:spacing w:after="0" w:line="264" w:lineRule="auto"/>
        <w:ind w:left="120"/>
        <w:jc w:val="both"/>
      </w:pPr>
      <w:r w:rsidRPr="00796503">
        <w:rPr>
          <w:rFonts w:ascii="Times New Roman" w:hAnsi="Times New Roman"/>
          <w:color w:val="000000"/>
          <w:sz w:val="28"/>
        </w:rPr>
        <w:t>‌</w:t>
      </w:r>
    </w:p>
    <w:p w:rsidR="00796503" w:rsidRPr="00796503" w:rsidRDefault="00796503" w:rsidP="00796503">
      <w:pPr>
        <w:spacing w:after="200" w:line="276" w:lineRule="auto"/>
        <w:sectPr w:rsidR="00796503" w:rsidRPr="00796503">
          <w:pgSz w:w="11906" w:h="16383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0" w:line="264" w:lineRule="auto"/>
        <w:ind w:left="120"/>
        <w:jc w:val="both"/>
      </w:pPr>
      <w:bookmarkStart w:id="3" w:name="block-7612858"/>
      <w:bookmarkEnd w:id="0"/>
      <w:r w:rsidRPr="00796503">
        <w:rPr>
          <w:rFonts w:ascii="Times New Roman" w:hAnsi="Times New Roman"/>
          <w:color w:val="000000"/>
          <w:sz w:val="28"/>
        </w:rPr>
        <w:lastRenderedPageBreak/>
        <w:t>​</w:t>
      </w:r>
      <w:r w:rsidRPr="00796503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96503" w:rsidRPr="00796503" w:rsidRDefault="00796503" w:rsidP="00796503">
      <w:pPr>
        <w:spacing w:after="0" w:line="264" w:lineRule="auto"/>
        <w:ind w:left="120"/>
        <w:jc w:val="both"/>
      </w:pPr>
      <w:r w:rsidRPr="00796503">
        <w:rPr>
          <w:rFonts w:ascii="Times New Roman" w:hAnsi="Times New Roman"/>
          <w:color w:val="000000"/>
          <w:sz w:val="28"/>
        </w:rPr>
        <w:t>​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8 КЛАСС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796503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796503">
        <w:rPr>
          <w:rFonts w:ascii="Times New Roman" w:hAnsi="Times New Roman"/>
          <w:color w:val="000000"/>
          <w:sz w:val="28"/>
        </w:rPr>
        <w:t>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796503">
        <w:rPr>
          <w:rFonts w:ascii="Times New Roman" w:hAnsi="Times New Roman"/>
          <w:color w:val="000000"/>
          <w:sz w:val="28"/>
        </w:rPr>
        <w:lastRenderedPageBreak/>
        <w:t>оксида меди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796503"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­-восстановительные реакции. Процессы окисления и восстановления. Окислители и восстановители.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proofErr w:type="spellStart"/>
      <w:r w:rsidRPr="00796503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796503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9 КЛАСС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­-восстановительных реакций с использованием метода электронного баланса.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796503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 w:rsidRPr="00796503">
        <w:rPr>
          <w:rFonts w:ascii="Times New Roman" w:hAnsi="Times New Roman"/>
          <w:color w:val="000000"/>
          <w:sz w:val="28"/>
          <w:lang w:val="en-US"/>
        </w:rPr>
        <w:t>VI</w:t>
      </w:r>
      <w:r w:rsidRPr="00796503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 xml:space="preserve">Общая характеристика элементов </w:t>
      </w:r>
      <w:r w:rsidRPr="00796503">
        <w:rPr>
          <w:rFonts w:ascii="Times New Roman" w:hAnsi="Times New Roman"/>
          <w:color w:val="000000"/>
          <w:sz w:val="28"/>
          <w:lang w:val="en-US"/>
        </w:rPr>
        <w:t>V</w:t>
      </w:r>
      <w:r w:rsidRPr="00796503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796503">
        <w:rPr>
          <w:rFonts w:ascii="Times New Roman" w:hAnsi="Times New Roman"/>
          <w:color w:val="000000"/>
          <w:sz w:val="28"/>
          <w:lang w:val="en-US"/>
        </w:rPr>
        <w:t>V</w:t>
      </w:r>
      <w:r w:rsidRPr="00796503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 w:rsidRPr="00796503">
        <w:rPr>
          <w:rFonts w:ascii="Times New Roman" w:hAnsi="Times New Roman"/>
          <w:color w:val="000000"/>
          <w:sz w:val="28"/>
          <w:lang w:val="en-US"/>
        </w:rPr>
        <w:t>IV</w:t>
      </w:r>
      <w:r w:rsidRPr="00796503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796503">
        <w:rPr>
          <w:rFonts w:ascii="Times New Roman" w:hAnsi="Times New Roman"/>
          <w:color w:val="000000"/>
          <w:sz w:val="28"/>
          <w:lang w:val="en-US"/>
        </w:rPr>
        <w:t>IV</w:t>
      </w:r>
      <w:r w:rsidRPr="00796503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796503">
        <w:rPr>
          <w:rFonts w:ascii="Times New Roman" w:hAnsi="Times New Roman"/>
          <w:color w:val="000000"/>
          <w:sz w:val="28"/>
          <w:lang w:val="en-US"/>
        </w:rPr>
        <w:t>IV</w:t>
      </w:r>
      <w:r w:rsidRPr="00796503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796503">
        <w:rPr>
          <w:rFonts w:ascii="Times New Roman" w:hAnsi="Times New Roman"/>
          <w:color w:val="000000"/>
          <w:sz w:val="28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796503">
        <w:rPr>
          <w:rFonts w:ascii="Times New Roman" w:hAnsi="Times New Roman"/>
          <w:color w:val="000000"/>
          <w:sz w:val="28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 и железа (</w:t>
      </w:r>
      <w:r w:rsidRPr="00796503">
        <w:rPr>
          <w:rFonts w:ascii="Times New Roman" w:hAnsi="Times New Roman"/>
          <w:color w:val="000000"/>
          <w:sz w:val="28"/>
          <w:lang w:val="en-US"/>
        </w:rPr>
        <w:t>III</w:t>
      </w:r>
      <w:r w:rsidRPr="00796503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96503">
        <w:rPr>
          <w:rFonts w:ascii="Times New Roman" w:hAnsi="Times New Roman"/>
          <w:b/>
          <w:color w:val="000000"/>
          <w:sz w:val="28"/>
        </w:rPr>
        <w:t>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 и железа (</w:t>
      </w:r>
      <w:r w:rsidRPr="00796503">
        <w:rPr>
          <w:rFonts w:ascii="Times New Roman" w:hAnsi="Times New Roman"/>
          <w:color w:val="000000"/>
          <w:sz w:val="28"/>
          <w:lang w:val="en-US"/>
        </w:rPr>
        <w:t>III</w:t>
      </w:r>
      <w:r w:rsidRPr="00796503">
        <w:rPr>
          <w:rFonts w:ascii="Times New Roman" w:hAnsi="Times New Roman"/>
          <w:color w:val="000000"/>
          <w:sz w:val="28"/>
        </w:rPr>
        <w:t>), меди (</w:t>
      </w:r>
      <w:r w:rsidRPr="00796503">
        <w:rPr>
          <w:rFonts w:ascii="Times New Roman" w:hAnsi="Times New Roman"/>
          <w:color w:val="000000"/>
          <w:sz w:val="28"/>
          <w:lang w:val="en-US"/>
        </w:rPr>
        <w:t>II</w:t>
      </w:r>
      <w:r w:rsidRPr="00796503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proofErr w:type="spellStart"/>
      <w:r w:rsidRPr="00796503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796503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796503" w:rsidRPr="00796503" w:rsidRDefault="00796503" w:rsidP="00796503">
      <w:pPr>
        <w:spacing w:after="200" w:line="276" w:lineRule="auto"/>
        <w:sectPr w:rsidR="00796503" w:rsidRPr="00796503">
          <w:pgSz w:w="11906" w:h="16383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0" w:line="264" w:lineRule="auto"/>
        <w:ind w:left="120"/>
        <w:jc w:val="both"/>
      </w:pPr>
      <w:bookmarkStart w:id="4" w:name="block-7612860"/>
      <w:bookmarkEnd w:id="3"/>
      <w:r w:rsidRPr="0079650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796503" w:rsidRPr="00796503" w:rsidRDefault="00796503" w:rsidP="00796503">
      <w:pPr>
        <w:spacing w:after="0" w:line="264" w:lineRule="auto"/>
        <w:ind w:left="120"/>
        <w:jc w:val="both"/>
      </w:pP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1)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796503">
        <w:rPr>
          <w:rFonts w:ascii="Times New Roman" w:hAnsi="Times New Roman"/>
          <w:color w:val="000000"/>
          <w:sz w:val="28"/>
        </w:rPr>
        <w:t>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2)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796503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3)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796503">
        <w:rPr>
          <w:rFonts w:ascii="Times New Roman" w:hAnsi="Times New Roman"/>
          <w:color w:val="000000"/>
          <w:sz w:val="28"/>
        </w:rPr>
        <w:t>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796503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bookmarkStart w:id="5" w:name="_Toc138318759"/>
      <w:bookmarkEnd w:id="5"/>
      <w:r w:rsidRPr="00796503">
        <w:rPr>
          <w:rFonts w:ascii="Times New Roman" w:hAnsi="Times New Roman"/>
          <w:b/>
          <w:color w:val="000000"/>
          <w:sz w:val="28"/>
        </w:rPr>
        <w:t>4)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796503">
        <w:rPr>
          <w:rFonts w:ascii="Times New Roman" w:hAnsi="Times New Roman"/>
          <w:color w:val="000000"/>
          <w:sz w:val="28"/>
        </w:rPr>
        <w:t>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5)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6)</w:t>
      </w:r>
      <w:r w:rsidRPr="00796503">
        <w:rPr>
          <w:rFonts w:ascii="Times New Roman" w:hAnsi="Times New Roman"/>
          <w:color w:val="000000"/>
          <w:sz w:val="28"/>
        </w:rPr>
        <w:t xml:space="preserve"> </w:t>
      </w:r>
      <w:r w:rsidRPr="00796503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796503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96503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96503">
        <w:rPr>
          <w:rFonts w:ascii="Times New Roman" w:hAnsi="Times New Roman"/>
          <w:color w:val="000000"/>
          <w:sz w:val="28"/>
        </w:rPr>
        <w:t>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796503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 концу обучения в</w:t>
      </w:r>
      <w:r w:rsidRPr="00796503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796503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796503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796503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796503" w:rsidRPr="00796503" w:rsidRDefault="00796503" w:rsidP="00796503">
      <w:pPr>
        <w:numPr>
          <w:ilvl w:val="0"/>
          <w:numId w:val="1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796503" w:rsidRPr="00796503" w:rsidRDefault="00796503" w:rsidP="00796503">
      <w:pPr>
        <w:spacing w:after="0" w:line="264" w:lineRule="auto"/>
        <w:ind w:firstLine="600"/>
        <w:jc w:val="both"/>
      </w:pPr>
      <w:r w:rsidRPr="00796503">
        <w:rPr>
          <w:rFonts w:ascii="Times New Roman" w:hAnsi="Times New Roman"/>
          <w:color w:val="000000"/>
          <w:sz w:val="28"/>
        </w:rPr>
        <w:t>К концу обучения в</w:t>
      </w:r>
      <w:r w:rsidRPr="00796503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796503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796503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796503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796503"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796503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 w:rsidRPr="00796503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796503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796503">
        <w:rPr>
          <w:rFonts w:ascii="Times New Roman" w:hAnsi="Times New Roman"/>
          <w:color w:val="000000"/>
          <w:sz w:val="28"/>
        </w:rPr>
        <w:t>путём хлорид</w:t>
      </w:r>
      <w:proofErr w:type="gramEnd"/>
      <w:r w:rsidRPr="00796503">
        <w:rPr>
          <w:rFonts w:ascii="Times New Roman" w:hAnsi="Times New Roman"/>
          <w:color w:val="000000"/>
          <w:sz w:val="28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796503" w:rsidRPr="00796503" w:rsidRDefault="00796503" w:rsidP="00796503">
      <w:pPr>
        <w:numPr>
          <w:ilvl w:val="0"/>
          <w:numId w:val="2"/>
        </w:numPr>
        <w:spacing w:after="0" w:line="264" w:lineRule="auto"/>
        <w:jc w:val="both"/>
      </w:pPr>
      <w:r w:rsidRPr="00796503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796503" w:rsidRPr="00796503" w:rsidRDefault="00796503" w:rsidP="00796503">
      <w:pPr>
        <w:spacing w:after="200" w:line="276" w:lineRule="auto"/>
        <w:sectPr w:rsidR="00796503" w:rsidRPr="00796503">
          <w:pgSz w:w="11906" w:h="16383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bookmarkStart w:id="8" w:name="block-7612855"/>
      <w:bookmarkEnd w:id="4"/>
      <w:r w:rsidRPr="0079650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96503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r w:rsidRPr="00796503">
        <w:rPr>
          <w:rFonts w:ascii="Times New Roman" w:hAnsi="Times New Roman"/>
          <w:b/>
          <w:color w:val="000000"/>
          <w:sz w:val="28"/>
          <w:lang w:val="en-US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140"/>
        <w:gridCol w:w="1311"/>
        <w:gridCol w:w="2378"/>
        <w:gridCol w:w="2467"/>
        <w:gridCol w:w="3648"/>
      </w:tblGrid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Первоначальные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понятия</w:t>
            </w:r>
            <w:proofErr w:type="spellEnd"/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Вещества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 xml:space="preserve">-восстановительные реакции. 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атома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-восстановительные реакции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96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</w:pP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</w:pP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веществ.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96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96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.3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  <w:r w:rsidRPr="0079650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327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классы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неорганических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соединений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96503" w:rsidRPr="00796503" w:rsidRDefault="00796503" w:rsidP="00796503">
      <w:pPr>
        <w:spacing w:after="200" w:line="276" w:lineRule="auto"/>
        <w:rPr>
          <w:lang w:val="en-US"/>
        </w:rPr>
        <w:sectPr w:rsidR="00796503" w:rsidRPr="0079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r w:rsidRPr="0079650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закономерности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химических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VII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Сера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96503" w:rsidRPr="00796503" w:rsidRDefault="00796503" w:rsidP="00796503">
      <w:pPr>
        <w:spacing w:after="200" w:line="276" w:lineRule="auto"/>
        <w:rPr>
          <w:lang w:val="en-US"/>
        </w:rPr>
        <w:sectPr w:rsidR="00796503" w:rsidRPr="0079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200" w:line="276" w:lineRule="auto"/>
        <w:rPr>
          <w:lang w:val="en-US"/>
        </w:rPr>
        <w:sectPr w:rsidR="00796503" w:rsidRPr="0079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r w:rsidRPr="0079650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r w:rsidRPr="00796503">
        <w:rPr>
          <w:rFonts w:ascii="Times New Roman" w:hAnsi="Times New Roman"/>
          <w:b/>
          <w:color w:val="000000"/>
          <w:sz w:val="28"/>
          <w:lang w:val="en-US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032"/>
        <w:gridCol w:w="1004"/>
        <w:gridCol w:w="1841"/>
        <w:gridCol w:w="1910"/>
        <w:gridCol w:w="1347"/>
        <w:gridCol w:w="2861"/>
      </w:tblGrid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Тела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вещества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Атомы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молекулы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Простые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вещества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Атомно-молекулярное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учение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Валентность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атомов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химических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элементов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eae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Первые попытки классификации химических элементов. Понятие о группах сходных элементов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Периоды, группы, подгруппы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Строение атомов. Состав атомных ядер. Изотопы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Строение электронных оболочек атомов элементов Периодической системы Д. И. Менделеева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Характеристика химического элемента по его положению в Периодической системе Д. И. Менделеева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Значение Периодического закона для развития науки и практики. Д. И. Менделеев — учёный, педагог и гражданин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Ионная химическая связь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Ковалентная полярная химическая связь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Ковалентная неполярная химическая связь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Степень окисления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-восстановительные реакции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Окислители и восстановители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«Строение атома.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связь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Озон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кислорода (реакции окисления, горение). Понятие об оксидах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Применение кислорода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Тепловой эффект химической реакции, понятие о термохимическом уравнении, экзо- и эндотермических реакциях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Топливо (нефть, уголь и метан). Загрязнение воздуха, способы его предотвращения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Нахождение в природе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Применение водорода.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Понятие о кислотах и солях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dfee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водорода в лаборатории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dfee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Молярный объём газов. Закон Авогадро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Вычисления объёма, количества вещества газа по его известному количеству вещества или объёму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Вычисления объёмов газов по уравнению реакции на основе закона объёмных отношений газов.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Состав оснований. Понятие об индикаторах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ffa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Вода как растворитель. Насыщенные и ненасыщенные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растворы. Массовая доля вещества в растворе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Оксиды: состав, классификация, номенклатура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Получение и химические свойства кислотных, основных и амфотерных оксидов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Основания: состав, классификация, номенклатура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Получение и химические свойства оснований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adaab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Кислоты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номенклатура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Получение и химические свойства кислот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adaab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Соли (средние): номенклатура, способы получения, химические свойства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adaab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Генетическая связь между классами неорганических соединений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96503" w:rsidRPr="00796503" w:rsidRDefault="00796503" w:rsidP="00796503">
      <w:pPr>
        <w:spacing w:after="200" w:line="276" w:lineRule="auto"/>
        <w:rPr>
          <w:lang w:val="en-US"/>
        </w:rPr>
        <w:sectPr w:rsidR="00796503" w:rsidRPr="00796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503" w:rsidRPr="00796503" w:rsidRDefault="00796503" w:rsidP="00796503">
      <w:pPr>
        <w:spacing w:after="0" w:line="276" w:lineRule="auto"/>
        <w:ind w:left="120"/>
        <w:rPr>
          <w:lang w:val="en-US"/>
        </w:rPr>
      </w:pPr>
      <w:r w:rsidRPr="0079650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886"/>
        <w:gridCol w:w="758"/>
        <w:gridCol w:w="1426"/>
        <w:gridCol w:w="1477"/>
        <w:gridCol w:w="1057"/>
        <w:gridCol w:w="2186"/>
      </w:tblGrid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50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adbac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Классификация химических реакций по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adbcb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Окислительно-восстановительные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adcade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Ионные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гидролизе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addbfa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растворах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addec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addfe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 по теме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>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серной кислоты.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соединениями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adeea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качестве минеральных удобрений.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соединениями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V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природной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adfc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adfd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adfebe</w:t>
              </w:r>
              <w:proofErr w:type="spellEnd"/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19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Кремний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 связь и металлическая кристаллическая решётка.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коррозии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Щелочные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Важнейшие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26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27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28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III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29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</w:t>
            </w:r>
            <w:r w:rsidRPr="007965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один из реагентов дан в избытке или содержит примеси.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массовой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доли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выхода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продукта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t>34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965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9650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7965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503" w:rsidRPr="00796503" w:rsidTr="00EF72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9650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503" w:rsidRPr="00796503" w:rsidRDefault="00796503" w:rsidP="0079650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80644" w:rsidRDefault="00282698"/>
    <w:sectPr w:rsidR="00080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AF2"/>
    <w:multiLevelType w:val="multilevel"/>
    <w:tmpl w:val="B8AC2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14197B"/>
    <w:multiLevelType w:val="multilevel"/>
    <w:tmpl w:val="61B01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94"/>
    <w:rsid w:val="00282698"/>
    <w:rsid w:val="002A4DB0"/>
    <w:rsid w:val="002C1794"/>
    <w:rsid w:val="00796503"/>
    <w:rsid w:val="008B49E1"/>
    <w:rsid w:val="00C6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F147"/>
  <w15:chartTrackingRefBased/>
  <w15:docId w15:val="{92BA7519-5056-4E32-8F64-FB46C5EB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650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9650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9650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9650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5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965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9650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9650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96503"/>
  </w:style>
  <w:style w:type="paragraph" w:styleId="a3">
    <w:name w:val="header"/>
    <w:basedOn w:val="a"/>
    <w:link w:val="a4"/>
    <w:uiPriority w:val="99"/>
    <w:unhideWhenUsed/>
    <w:rsid w:val="0079650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96503"/>
    <w:rPr>
      <w:lang w:val="en-US"/>
    </w:rPr>
  </w:style>
  <w:style w:type="paragraph" w:styleId="a5">
    <w:name w:val="Normal Indent"/>
    <w:basedOn w:val="a"/>
    <w:uiPriority w:val="99"/>
    <w:unhideWhenUsed/>
    <w:rsid w:val="0079650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9650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9650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9650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9650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96503"/>
    <w:rPr>
      <w:i/>
      <w:iCs/>
    </w:rPr>
  </w:style>
  <w:style w:type="character" w:styleId="ab">
    <w:name w:val="Hyperlink"/>
    <w:basedOn w:val="a0"/>
    <w:uiPriority w:val="99"/>
    <w:unhideWhenUsed/>
    <w:rsid w:val="0079650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9650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9650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10407</Words>
  <Characters>59323</Characters>
  <Application>Microsoft Office Word</Application>
  <DocSecurity>0</DocSecurity>
  <Lines>494</Lines>
  <Paragraphs>139</Paragraphs>
  <ScaleCrop>false</ScaleCrop>
  <Company>SPecialiST RePack</Company>
  <LinksUpToDate>false</LinksUpToDate>
  <CharactersWithSpaces>69591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Учитель</cp:lastModifiedBy>
  <cp:revision>6</cp:revision>
  <dcterms:created xsi:type="dcterms:W3CDTF">2024-02-29T15:42:00Z</dcterms:created>
  <dcterms:modified xsi:type="dcterms:W3CDTF">2024-09-10T07:19:00Z</dcterms:modified>
</cp:coreProperties>
</file>